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widowControl w:val="1"/>
        <w:spacing w:line="276" w:lineRule="auto"/>
        <w:contextualSpacing w:val="0"/>
        <w:rPr>
          <w:rFonts w:ascii="Calibri" w:cs="Calibri" w:eastAsia="Calibri" w:hAnsi="Calibri"/>
          <w:color w:val="11566e"/>
          <w:sz w:val="48"/>
          <w:szCs w:val="48"/>
        </w:rPr>
      </w:pPr>
      <w:r w:rsidDel="00000000" w:rsidR="00000000" w:rsidRPr="00000000">
        <w:rPr>
          <w:rFonts w:ascii="Calibri" w:cs="Calibri" w:eastAsia="Calibri" w:hAnsi="Calibri"/>
          <w:b w:val="1"/>
          <w:color w:val="11566e"/>
          <w:sz w:val="48"/>
          <w:szCs w:val="48"/>
          <w:rtl w:val="0"/>
        </w:rPr>
        <w:t xml:space="preserve">Tool #3: Document Retention and Destruction Schedule</w:t>
      </w:r>
      <w:r w:rsidDel="00000000" w:rsidR="00000000" w:rsidRPr="00000000">
        <w:rPr>
          <w:rtl w:val="0"/>
        </w:rPr>
      </w:r>
    </w:p>
    <w:p w:rsidR="00000000" w:rsidDel="00000000" w:rsidP="00000000" w:rsidRDefault="00000000" w:rsidRPr="00000000">
      <w:pPr>
        <w:widowControl w:val="1"/>
        <w:spacing w:line="276" w:lineRule="auto"/>
        <w:contextualSpacing w:val="0"/>
        <w:jc w:val="center"/>
        <w:rPr>
          <w:rFonts w:ascii="Calibri" w:cs="Calibri" w:eastAsia="Calibri" w:hAnsi="Calibri"/>
          <w:sz w:val="22"/>
          <w:szCs w:val="22"/>
        </w:rPr>
      </w:pPr>
      <w:r w:rsidDel="00000000" w:rsidR="00000000" w:rsidRPr="00000000">
        <w:rPr>
          <w:rtl w:val="0"/>
        </w:rPr>
      </w:r>
    </w:p>
    <w:p w:rsidR="00000000" w:rsidDel="00000000" w:rsidP="00000000" w:rsidRDefault="00000000" w:rsidRPr="00000000">
      <w:pPr>
        <w:widowControl w:val="1"/>
        <w:spacing w:line="276" w:lineRule="auto"/>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The following document is intended to provide guidance in developing your organization’s document retention policy.  Statutes of limitations and state and government agency requirements vary from state to state, therefore each organization should carefully consider its requirements and consult with legal counsel before adopting a Document Retention and Destruction Policy.</w:t>
      </w:r>
      <w:r w:rsidDel="00000000" w:rsidR="00000000" w:rsidRPr="00000000">
        <w:rPr>
          <w:rtl w:val="0"/>
        </w:rPr>
      </w:r>
    </w:p>
    <w:p w:rsidR="00000000" w:rsidDel="00000000" w:rsidP="00000000" w:rsidRDefault="00000000" w:rsidRPr="00000000">
      <w:pPr>
        <w:widowControl w:val="1"/>
        <w:spacing w:line="276" w:lineRule="auto"/>
        <w:contextualSpacing w:val="0"/>
        <w:rPr>
          <w:rFonts w:ascii="Calibri" w:cs="Calibri" w:eastAsia="Calibri" w:hAnsi="Calibri"/>
          <w:sz w:val="22"/>
          <w:szCs w:val="22"/>
        </w:rPr>
      </w:pPr>
      <w:r w:rsidDel="00000000" w:rsidR="00000000" w:rsidRPr="00000000">
        <w:rPr>
          <w:rtl w:val="0"/>
        </w:rPr>
      </w:r>
    </w:p>
    <w:p w:rsidR="00000000" w:rsidDel="00000000" w:rsidP="00000000" w:rsidRDefault="00000000" w:rsidRPr="00000000">
      <w:pPr>
        <w:widowControl w:val="1"/>
        <w:spacing w:line="276" w:lineRule="auto"/>
        <w:contextualSpacing w:val="0"/>
        <w:rPr>
          <w:rFonts w:ascii="Calibri" w:cs="Calibri" w:eastAsia="Calibri" w:hAnsi="Calibri"/>
          <w:sz w:val="22"/>
          <w:szCs w:val="22"/>
        </w:rPr>
      </w:pPr>
      <w:r w:rsidDel="00000000" w:rsidR="00000000" w:rsidRPr="00000000">
        <w:rPr>
          <w:rFonts w:ascii="Calibri" w:cs="Calibri" w:eastAsia="Calibri" w:hAnsi="Calibri"/>
          <w:b w:val="1"/>
          <w:rtl w:val="0"/>
        </w:rPr>
        <w:t xml:space="preserve">Electronic documents</w:t>
      </w:r>
      <w:r w:rsidDel="00000000" w:rsidR="00000000" w:rsidRPr="00000000">
        <w:rPr>
          <w:rFonts w:ascii="Calibri" w:cs="Calibri" w:eastAsia="Calibri" w:hAnsi="Calibri"/>
          <w:rtl w:val="0"/>
        </w:rPr>
        <w:t xml:space="preserve"> should be retained as if they were paper documents.  All electronic documents that fall into the following document types should be maintained for the appropriate amount of time, after which they should be deleted from individual computers, databases, networks, and backup storage.</w:t>
      </w:r>
      <w:r w:rsidDel="00000000" w:rsidR="00000000" w:rsidRPr="00000000">
        <w:rPr>
          <w:rtl w:val="0"/>
        </w:rPr>
      </w:r>
    </w:p>
    <w:p w:rsidR="00000000" w:rsidDel="00000000" w:rsidP="00000000" w:rsidRDefault="00000000" w:rsidRPr="00000000">
      <w:pPr>
        <w:widowControl w:val="1"/>
        <w:spacing w:line="276" w:lineRule="auto"/>
        <w:contextualSpacing w:val="0"/>
        <w:rPr>
          <w:rFonts w:ascii="Calibri" w:cs="Calibri" w:eastAsia="Calibri" w:hAnsi="Calibri"/>
          <w:sz w:val="22"/>
          <w:szCs w:val="22"/>
        </w:rPr>
      </w:pPr>
      <w:r w:rsidDel="00000000" w:rsidR="00000000" w:rsidRPr="00000000">
        <w:rPr>
          <w:rtl w:val="0"/>
        </w:rPr>
      </w:r>
    </w:p>
    <w:tbl>
      <w:tblPr>
        <w:tblStyle w:val="Table1"/>
        <w:tblW w:w="10770.0" w:type="dxa"/>
        <w:jc w:val="left"/>
        <w:tblInd w:w="9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400"/>
      </w:tblPr>
      <w:tblGrid>
        <w:gridCol w:w="4680"/>
        <w:gridCol w:w="6090"/>
        <w:tblGridChange w:id="0">
          <w:tblGrid>
            <w:gridCol w:w="4680"/>
            <w:gridCol w:w="6090"/>
          </w:tblGrid>
        </w:tblGridChange>
      </w:tblGrid>
      <w:tr>
        <w:tc>
          <w:tcPr>
            <w:tcBorders>
              <w:right w:color="000000" w:space="0" w:sz="0" w:val="nil"/>
            </w:tcBorders>
            <w:shd w:fill="efefef" w:val="clea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color w:val="11566e"/>
                <w:sz w:val="28"/>
                <w:szCs w:val="28"/>
              </w:rPr>
            </w:pPr>
            <w:r w:rsidDel="00000000" w:rsidR="00000000" w:rsidRPr="00000000">
              <w:rPr>
                <w:rFonts w:ascii="Calibri" w:cs="Calibri" w:eastAsia="Calibri" w:hAnsi="Calibri"/>
                <w:b w:val="1"/>
                <w:color w:val="11566e"/>
                <w:sz w:val="28"/>
                <w:szCs w:val="28"/>
                <w:rtl w:val="0"/>
              </w:rPr>
              <w:t xml:space="preserve">Organizational</w:t>
            </w:r>
            <w:r w:rsidDel="00000000" w:rsidR="00000000" w:rsidRPr="00000000">
              <w:rPr>
                <w:rtl w:val="0"/>
              </w:rPr>
            </w:r>
          </w:p>
        </w:tc>
        <w:tc>
          <w:tcPr>
            <w:tcBorders>
              <w:left w:color="000000" w:space="0" w:sz="0" w:val="nil"/>
            </w:tcBorders>
            <w:shd w:fill="efefef" w:val="clea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Incorporation Documents: articles of incorporation, bylaws, mission statement</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Permanent</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Tax-exemption Documents: application for tax exemption, IRS determination letter, state determinations</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Permanent</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Meeting/board documents including agendas, minutes, etc.</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Permanent</w:t>
            </w:r>
            <w:r w:rsidDel="00000000" w:rsidR="00000000" w:rsidRPr="00000000">
              <w:rPr>
                <w:rtl w:val="0"/>
              </w:rPr>
            </w:r>
          </w:p>
        </w:tc>
      </w:tr>
      <w:tr>
        <w:tc>
          <w:tcPr>
            <w:tcBorders>
              <w:right w:color="000000" w:space="0" w:sz="0" w:val="nil"/>
            </w:tcBorders>
            <w:shd w:fill="efefef" w:val="clea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color w:val="11566e"/>
                <w:sz w:val="28"/>
                <w:szCs w:val="28"/>
              </w:rPr>
            </w:pPr>
            <w:r w:rsidDel="00000000" w:rsidR="00000000" w:rsidRPr="00000000">
              <w:rPr>
                <w:rFonts w:ascii="Calibri" w:cs="Calibri" w:eastAsia="Calibri" w:hAnsi="Calibri"/>
                <w:b w:val="1"/>
                <w:color w:val="11566e"/>
                <w:sz w:val="28"/>
                <w:szCs w:val="28"/>
                <w:rtl w:val="0"/>
              </w:rPr>
              <w:t xml:space="preserve">Human Resources</w:t>
            </w:r>
            <w:r w:rsidDel="00000000" w:rsidR="00000000" w:rsidRPr="00000000">
              <w:rPr>
                <w:rtl w:val="0"/>
              </w:rPr>
            </w:r>
          </w:p>
        </w:tc>
        <w:tc>
          <w:tcPr>
            <w:tcBorders>
              <w:left w:color="000000" w:space="0" w:sz="0" w:val="nil"/>
            </w:tcBorders>
            <w:shd w:fill="efefef" w:val="clea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Payroll records and summaries (including W-2’s, 1099’s, 941’s, state reports)</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7 years</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Personnel records </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Permanent</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Employee’s W-4 form</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Entire time it is in effect plus 3 years</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Records of employee exposure to hazardous materials or conditions</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30 years after termination of employment</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Workers comp claims (after settlement)</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7 years </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Employment applications</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3 years</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Retirement plan benefits</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Permanent</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Employee handbooks</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Permanent</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Employee orientation and training materials</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7 years after use ends</w:t>
            </w:r>
            <w:r w:rsidDel="00000000" w:rsidR="00000000" w:rsidRPr="00000000">
              <w:rPr>
                <w:rtl w:val="0"/>
              </w:rPr>
            </w:r>
          </w:p>
        </w:tc>
      </w:tr>
      <w:tr>
        <w:trPr>
          <w:trHeight w:val="480" w:hRule="atLeast"/>
        </w:trPr>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Timesheets</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7 years</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Withholding tax statements</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7 years</w:t>
            </w:r>
            <w:r w:rsidDel="00000000" w:rsidR="00000000" w:rsidRPr="00000000">
              <w:rPr>
                <w:rtl w:val="0"/>
              </w:rPr>
            </w:r>
          </w:p>
        </w:tc>
      </w:tr>
      <w:tr>
        <w:tc>
          <w:tcPr>
            <w:tcBorders>
              <w:right w:color="000000" w:space="0" w:sz="0" w:val="nil"/>
            </w:tcBorders>
            <w:shd w:fill="efefef" w:val="clea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color w:val="11566e"/>
                <w:sz w:val="28"/>
                <w:szCs w:val="28"/>
              </w:rPr>
            </w:pPr>
            <w:r w:rsidDel="00000000" w:rsidR="00000000" w:rsidRPr="00000000">
              <w:rPr>
                <w:rFonts w:ascii="Calibri" w:cs="Calibri" w:eastAsia="Calibri" w:hAnsi="Calibri"/>
                <w:b w:val="1"/>
                <w:color w:val="11566e"/>
                <w:sz w:val="28"/>
                <w:szCs w:val="28"/>
                <w:rtl w:val="0"/>
              </w:rPr>
              <w:t xml:space="preserve">Real Estate</w:t>
            </w:r>
            <w:r w:rsidDel="00000000" w:rsidR="00000000" w:rsidRPr="00000000">
              <w:rPr>
                <w:rtl w:val="0"/>
              </w:rPr>
            </w:r>
          </w:p>
        </w:tc>
        <w:tc>
          <w:tcPr>
            <w:tcBorders>
              <w:left w:color="000000" w:space="0" w:sz="0" w:val="nil"/>
            </w:tcBorders>
            <w:shd w:fill="efefef" w:val="clea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tl w:val="0"/>
              </w:rPr>
            </w:r>
          </w:p>
        </w:tc>
      </w:tr>
      <w:tr>
        <w:trPr>
          <w:trHeight w:val="520" w:hRule="atLeast"/>
        </w:trPr>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Deeds, mortgages, contracts and leases still in effect</w:t>
            </w:r>
          </w:p>
        </w:tc>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Permanent</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Contracts, mortgages, notes, and leases (expired)</w:t>
            </w:r>
          </w:p>
        </w:tc>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7 years</w:t>
            </w:r>
            <w:r w:rsidDel="00000000" w:rsidR="00000000" w:rsidRPr="00000000">
              <w:rPr>
                <w:rtl w:val="0"/>
              </w:rPr>
            </w:r>
          </w:p>
        </w:tc>
      </w:tr>
      <w:tr>
        <w:tc>
          <w:tcPr>
            <w:tcBorders>
              <w:right w:color="000000" w:space="0" w:sz="0" w:val="nil"/>
            </w:tcBorders>
            <w:shd w:fill="efefef" w:val="clea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b w:val="1"/>
                <w:color w:val="11566e"/>
                <w:sz w:val="28"/>
                <w:szCs w:val="28"/>
                <w:rtl w:val="0"/>
              </w:rPr>
              <w:t xml:space="preserve">Insurance Records</w:t>
            </w:r>
            <w:r w:rsidDel="00000000" w:rsidR="00000000" w:rsidRPr="00000000">
              <w:rPr>
                <w:rtl w:val="0"/>
              </w:rPr>
            </w:r>
          </w:p>
        </w:tc>
        <w:tc>
          <w:tcPr>
            <w:tcBorders>
              <w:left w:color="000000" w:space="0" w:sz="0" w:val="nil"/>
            </w:tcBorders>
            <w:shd w:fill="efefef" w:val="clea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Insurance records, current accident reports, claims, policies, etc. (active and expired)</w:t>
            </w:r>
          </w:p>
        </w:tc>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Permanent</w:t>
            </w:r>
            <w:r w:rsidDel="00000000" w:rsidR="00000000" w:rsidRPr="00000000">
              <w:rPr>
                <w:rtl w:val="0"/>
              </w:rPr>
            </w:r>
          </w:p>
        </w:tc>
      </w:tr>
      <w:tr>
        <w:tc>
          <w:tcPr>
            <w:tcBorders>
              <w:right w:color="000000" w:space="0" w:sz="0" w:val="nil"/>
            </w:tcBorders>
            <w:shd w:fill="efefef" w:val="clea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b w:val="1"/>
                <w:color w:val="11566e"/>
                <w:sz w:val="28"/>
                <w:szCs w:val="28"/>
                <w:rtl w:val="0"/>
              </w:rPr>
              <w:t xml:space="preserve">Financial</w:t>
            </w:r>
            <w:r w:rsidDel="00000000" w:rsidR="00000000" w:rsidRPr="00000000">
              <w:rPr>
                <w:rtl w:val="0"/>
              </w:rPr>
            </w:r>
          </w:p>
        </w:tc>
        <w:tc>
          <w:tcPr>
            <w:tcBorders>
              <w:left w:color="000000" w:space="0" w:sz="0" w:val="nil"/>
            </w:tcBorders>
            <w:shd w:fill="efefef" w:val="clea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Audit report by outside CPA</w:t>
            </w:r>
          </w:p>
        </w:tc>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Permanent</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Internal audit reports</w:t>
            </w:r>
          </w:p>
        </w:tc>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3 years</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Payroll records</w:t>
            </w:r>
          </w:p>
        </w:tc>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7 years</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Check register and checks</w:t>
            </w:r>
          </w:p>
        </w:tc>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7 years</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Bank deposits and statements</w:t>
            </w:r>
          </w:p>
        </w:tc>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7 years</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Chart of accounts</w:t>
            </w:r>
          </w:p>
        </w:tc>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7 years</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General ledgers and journals (includes back reconciliations)</w:t>
            </w:r>
          </w:p>
        </w:tc>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7 years</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Investment performance reports</w:t>
            </w:r>
          </w:p>
        </w:tc>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7 years</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Equipment files and maintenance records</w:t>
            </w:r>
          </w:p>
        </w:tc>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7 years after disposition</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Contracts and agreements</w:t>
            </w:r>
          </w:p>
        </w:tc>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7 years after all obligations end</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Correspondence regarding important matters</w:t>
            </w:r>
          </w:p>
        </w:tc>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Permanent</w:t>
            </w:r>
            <w:r w:rsidDel="00000000" w:rsidR="00000000" w:rsidRPr="00000000">
              <w:rPr>
                <w:rtl w:val="0"/>
              </w:rPr>
            </w:r>
          </w:p>
        </w:tc>
      </w:tr>
      <w:tr>
        <w:tc>
          <w:tcPr>
            <w:tcBorders>
              <w:right w:color="000000" w:space="0" w:sz="0" w:val="nil"/>
            </w:tcBorders>
            <w:shd w:fill="efefef" w:val="clea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b w:val="1"/>
                <w:color w:val="11566e"/>
                <w:sz w:val="28"/>
                <w:szCs w:val="28"/>
                <w:rtl w:val="0"/>
              </w:rPr>
              <w:t xml:space="preserve">Technology</w:t>
            </w:r>
            <w:r w:rsidDel="00000000" w:rsidR="00000000" w:rsidRPr="00000000">
              <w:rPr>
                <w:rtl w:val="0"/>
              </w:rPr>
            </w:r>
          </w:p>
        </w:tc>
        <w:tc>
          <w:tcPr>
            <w:tcBorders>
              <w:left w:color="000000" w:space="0" w:sz="0" w:val="nil"/>
            </w:tcBorders>
            <w:shd w:fill="efefef" w:val="clea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Software licenses and support agreements</w:t>
            </w:r>
          </w:p>
        </w:tc>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7 years after all obligations end</w:t>
            </w:r>
            <w:r w:rsidDel="00000000" w:rsidR="00000000" w:rsidRPr="00000000">
              <w:rPr>
                <w:rtl w:val="0"/>
              </w:rPr>
            </w:r>
          </w:p>
        </w:tc>
      </w:tr>
      <w:tr>
        <w:tc>
          <w:tcPr>
            <w:tcBorders>
              <w:right w:color="000000" w:space="0" w:sz="0" w:val="nil"/>
            </w:tcBorders>
            <w:shd w:fill="efefef" w:val="clea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b w:val="1"/>
                <w:color w:val="11566e"/>
                <w:sz w:val="28"/>
                <w:szCs w:val="28"/>
                <w:rtl w:val="0"/>
              </w:rPr>
              <w:t xml:space="preserve">Operations</w:t>
            </w:r>
            <w:r w:rsidDel="00000000" w:rsidR="00000000" w:rsidRPr="00000000">
              <w:rPr>
                <w:rtl w:val="0"/>
              </w:rPr>
            </w:r>
          </w:p>
        </w:tc>
        <w:tc>
          <w:tcPr>
            <w:tcBorders>
              <w:left w:color="000000" w:space="0" w:sz="0" w:val="nil"/>
            </w:tcBorders>
            <w:shd w:fill="efefef" w:val="clea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Ticket stubs</w:t>
            </w:r>
          </w:p>
        </w:tc>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Until FY audit is completed</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Miscellaneous internal reports</w:t>
            </w:r>
          </w:p>
        </w:tc>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3 years</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Miscellaneous historical records</w:t>
            </w:r>
          </w:p>
        </w:tc>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Discretionary</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Contracts (still in effect)</w:t>
            </w:r>
          </w:p>
        </w:tc>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Contract period</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Correspondence (general)</w:t>
            </w:r>
          </w:p>
        </w:tc>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2 years</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Correspondence (legal and important matters)</w:t>
            </w:r>
          </w:p>
        </w:tc>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Permanent</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Trademark registrations and copyrights</w:t>
            </w:r>
          </w:p>
        </w:tc>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Permanent</w:t>
            </w:r>
            <w:r w:rsidDel="00000000" w:rsidR="00000000" w:rsidRPr="00000000">
              <w:rPr>
                <w:rtl w:val="0"/>
              </w:rPr>
            </w:r>
          </w:p>
        </w:tc>
      </w:tr>
      <w:tr>
        <w:tc>
          <w:tcPr>
            <w:tcBorders>
              <w:right w:color="000000" w:space="0" w:sz="0" w:val="nil"/>
            </w:tcBorders>
            <w:shd w:fill="efefef" w:val="clea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b w:val="1"/>
                <w:color w:val="11566e"/>
                <w:sz w:val="28"/>
                <w:szCs w:val="28"/>
                <w:rtl w:val="0"/>
              </w:rPr>
              <w:t xml:space="preserve">Development</w:t>
            </w:r>
            <w:r w:rsidDel="00000000" w:rsidR="00000000" w:rsidRPr="00000000">
              <w:rPr>
                <w:rtl w:val="0"/>
              </w:rPr>
            </w:r>
          </w:p>
        </w:tc>
        <w:tc>
          <w:tcPr>
            <w:tcBorders>
              <w:left w:color="000000" w:space="0" w:sz="0" w:val="nil"/>
            </w:tcBorders>
            <w:shd w:fill="efefef" w:val="clea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Grant applications</w:t>
            </w:r>
          </w:p>
        </w:tc>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Duration of grant plus 5 years</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Grant compliance documentation</w:t>
            </w:r>
          </w:p>
        </w:tc>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Duration of grant plus 5 years</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Donor history-detail</w:t>
            </w:r>
          </w:p>
        </w:tc>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5 years from last gift</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Donor history-summary</w:t>
            </w:r>
          </w:p>
        </w:tc>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Permanent</w:t>
            </w:r>
            <w:r w:rsidDel="00000000" w:rsidR="00000000" w:rsidRPr="00000000">
              <w:rPr>
                <w:rtl w:val="0"/>
              </w:rPr>
            </w:r>
          </w:p>
        </w:tc>
      </w:tr>
      <w:tr>
        <w:tc>
          <w:tcPr>
            <w:tcBorders>
              <w:right w:color="000000" w:space="0" w:sz="0" w:val="nil"/>
            </w:tcBorders>
            <w:shd w:fill="efefef" w:val="clea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b w:val="1"/>
                <w:color w:val="11566e"/>
                <w:sz w:val="28"/>
                <w:szCs w:val="28"/>
                <w:rtl w:val="0"/>
              </w:rPr>
              <w:t xml:space="preserve">Artistic</w:t>
            </w:r>
            <w:r w:rsidDel="00000000" w:rsidR="00000000" w:rsidRPr="00000000">
              <w:rPr>
                <w:rtl w:val="0"/>
              </w:rPr>
            </w:r>
          </w:p>
        </w:tc>
        <w:tc>
          <w:tcPr>
            <w:tcBorders>
              <w:left w:color="000000" w:space="0" w:sz="0" w:val="nil"/>
            </w:tcBorders>
            <w:shd w:fill="efefef" w:val="clea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Correspondence (important matters)</w:t>
            </w:r>
          </w:p>
        </w:tc>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Permanent</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Archival video</w:t>
            </w:r>
          </w:p>
        </w:tc>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Permanent</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Production Files</w:t>
            </w:r>
          </w:p>
        </w:tc>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Permanent</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Programs</w:t>
            </w:r>
          </w:p>
        </w:tc>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Retain 3 copies permanently</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Calendars</w:t>
            </w:r>
          </w:p>
        </w:tc>
        <w:tc>
          <w:tcPr>
            <w:tcMar>
              <w:top w:w="100.0" w:type="dxa"/>
              <w:left w:w="100.0" w:type="dxa"/>
              <w:bottom w:w="100.0" w:type="dxa"/>
              <w:right w:w="100.0" w:type="dxa"/>
            </w:tcMar>
          </w:tcPr>
          <w:p w:rsidR="00000000" w:rsidDel="00000000" w:rsidP="00000000" w:rsidRDefault="00000000" w:rsidRPr="00000000">
            <w:pPr>
              <w:widowControl w:val="1"/>
              <w:contextualSpacing w:val="0"/>
              <w:rPr>
                <w:rFonts w:ascii="Calibri" w:cs="Calibri" w:eastAsia="Calibri" w:hAnsi="Calibri"/>
                <w:sz w:val="22"/>
                <w:szCs w:val="22"/>
              </w:rPr>
            </w:pPr>
            <w:r w:rsidDel="00000000" w:rsidR="00000000" w:rsidRPr="00000000">
              <w:rPr>
                <w:rFonts w:ascii="Calibri" w:cs="Calibri" w:eastAsia="Calibri" w:hAnsi="Calibri"/>
                <w:rtl w:val="0"/>
              </w:rPr>
              <w:t xml:space="preserve">Permanent</w:t>
            </w:r>
            <w:r w:rsidDel="00000000" w:rsidR="00000000" w:rsidRPr="00000000">
              <w:rPr>
                <w:rtl w:val="0"/>
              </w:rPr>
            </w:r>
          </w:p>
        </w:tc>
      </w:tr>
    </w:tbl>
    <w:p w:rsidR="00000000" w:rsidDel="00000000" w:rsidP="00000000" w:rsidRDefault="00000000" w:rsidRPr="00000000">
      <w:pPr>
        <w:widowControl w:val="1"/>
        <w:spacing w:line="276" w:lineRule="auto"/>
        <w:contextualSpacing w:val="0"/>
        <w:rPr>
          <w:rFonts w:ascii="Calibri" w:cs="Calibri" w:eastAsia="Calibri" w:hAnsi="Calibri"/>
          <w:sz w:val="22"/>
          <w:szCs w:val="22"/>
        </w:rPr>
      </w:pPr>
      <w:r w:rsidDel="00000000" w:rsidR="00000000" w:rsidRPr="00000000">
        <w:rPr>
          <w:rtl w:val="0"/>
        </w:rPr>
      </w:r>
    </w:p>
    <w:p w:rsidR="00000000" w:rsidDel="00000000" w:rsidP="00000000" w:rsidRDefault="00000000" w:rsidRPr="00000000">
      <w:pPr>
        <w:ind w:left="0" w:right="0" w:firstLine="0"/>
        <w:contextualSpacing w:val="0"/>
        <w:rPr>
          <w:rFonts w:ascii="Calibri" w:cs="Calibri" w:eastAsia="Calibri" w:hAnsi="Calibri"/>
        </w:rPr>
      </w:pPr>
      <w:r w:rsidDel="00000000" w:rsidR="00000000" w:rsidRPr="00000000">
        <w:rPr>
          <w:rtl w:val="0"/>
        </w:rPr>
      </w:r>
    </w:p>
    <w:sectPr>
      <w:headerReference r:id="rId5" w:type="default"/>
      <w:pgSz w:h="15840" w:w="12240"/>
      <w:pgMar w:bottom="1440" w:top="1440" w:left="720" w:right="72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Cambria"/>
  <w:font w:name="Calibri"/>
  <w:font w:name="Georgia"/>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pStyle w:val="Heading1"/>
      <w:spacing w:line="240" w:lineRule="auto"/>
      <w:ind w:left="0" w:right="0" w:firstLine="0"/>
      <w:contextualSpacing w:val="0"/>
      <w:rPr/>
    </w:pPr>
    <w:bookmarkStart w:colFirst="0" w:colLast="0" w:name="_gyh250z4llpq" w:id="0"/>
    <w:bookmarkEnd w:id="0"/>
    <w:r w:rsidDel="00000000" w:rsidR="00000000" w:rsidRPr="00000000">
      <w:rPr>
        <w:rtl w:val="0"/>
      </w:rPr>
    </w:r>
  </w:p>
  <w:tbl>
    <w:tblPr>
      <w:tblStyle w:val="Table2"/>
      <w:tblW w:w="1080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400"/>
      <w:gridCol w:w="5400"/>
      <w:tblGridChange w:id="0">
        <w:tblGrid>
          <w:gridCol w:w="5400"/>
          <w:gridCol w:w="5400"/>
        </w:tblGrid>
      </w:tblGridChange>
    </w:tblGrid>
    <w:tr>
      <w:trPr>
        <w:trHeight w:val="1020" w:hRule="atLeast"/>
      </w:trPr>
      <w:tc>
        <w:tcPr>
          <w:tcBorders>
            <w:top w:color="000000" w:space="0" w:sz="0" w:val="nil"/>
            <w:left w:color="000000" w:space="0" w:sz="0" w:val="nil"/>
            <w:bottom w:color="70afb5" w:space="0" w:sz="18"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pPr>
            <w:pStyle w:val="Heading1"/>
            <w:ind w:left="-15" w:firstLine="0"/>
            <w:contextualSpacing w:val="0"/>
            <w:rPr/>
          </w:pPr>
          <w:bookmarkStart w:colFirst="0" w:colLast="0" w:name="_nsrq5i3imjt0" w:id="1"/>
          <w:bookmarkEnd w:id="1"/>
          <w:r w:rsidDel="00000000" w:rsidR="00000000" w:rsidRPr="00000000">
            <w:rPr/>
            <w:drawing>
              <wp:inline distB="114300" distT="114300" distL="114300" distR="114300">
                <wp:extent cx="1289368" cy="623888"/>
                <wp:effectExtent b="0" l="0" r="0" t="0"/>
                <wp:docPr id="1" name="image2.jpg"/>
                <a:graphic>
                  <a:graphicData uri="http://schemas.openxmlformats.org/drawingml/2006/picture">
                    <pic:pic>
                      <pic:nvPicPr>
                        <pic:cNvPr id="0" name="image2.jpg"/>
                        <pic:cNvPicPr preferRelativeResize="0"/>
                      </pic:nvPicPr>
                      <pic:blipFill>
                        <a:blip r:embed="rId1"/>
                        <a:srcRect b="0" l="0" r="0" t="0"/>
                        <a:stretch>
                          <a:fillRect/>
                        </a:stretch>
                      </pic:blipFill>
                      <pic:spPr>
                        <a:xfrm>
                          <a:off x="0" y="0"/>
                          <a:ext cx="1289368" cy="623888"/>
                        </a:xfrm>
                        <a:prstGeom prst="rect"/>
                        <a:ln/>
                      </pic:spPr>
                    </pic:pic>
                  </a:graphicData>
                </a:graphic>
              </wp:inline>
            </w:drawing>
          </w:r>
          <w:r w:rsidDel="00000000" w:rsidR="00000000" w:rsidRPr="00000000">
            <w:rPr>
              <w:rtl w:val="0"/>
            </w:rPr>
          </w:r>
        </w:p>
      </w:tc>
      <w:tc>
        <w:tcPr>
          <w:tcBorders>
            <w:top w:color="000000" w:space="0" w:sz="0" w:val="nil"/>
            <w:left w:color="000000" w:space="0" w:sz="0" w:val="nil"/>
            <w:bottom w:color="70afb5" w:space="0" w:sz="18"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pPr>
            <w:pStyle w:val="Heading1"/>
            <w:ind w:left="-105" w:right="-15" w:firstLine="0"/>
            <w:contextualSpacing w:val="0"/>
            <w:jc w:val="right"/>
            <w:rPr>
              <w:b w:val="0"/>
              <w:color w:val="70afb5"/>
            </w:rPr>
          </w:pPr>
          <w:bookmarkStart w:colFirst="0" w:colLast="0" w:name="_f95crzqbhdc9" w:id="2"/>
          <w:bookmarkEnd w:id="2"/>
          <w:r w:rsidDel="00000000" w:rsidR="00000000" w:rsidRPr="00000000">
            <w:rPr>
              <w:b w:val="0"/>
              <w:color w:val="70afb5"/>
              <w:rtl w:val="0"/>
            </w:rPr>
            <w:t xml:space="preserve">Dance Heritage</w:t>
          </w:r>
        </w:p>
        <w:p w:rsidR="00000000" w:rsidDel="00000000" w:rsidP="00000000" w:rsidRDefault="00000000" w:rsidRPr="00000000">
          <w:pPr>
            <w:pStyle w:val="Heading1"/>
            <w:ind w:left="-105" w:right="0" w:firstLine="0"/>
            <w:contextualSpacing w:val="0"/>
            <w:jc w:val="right"/>
            <w:rPr/>
          </w:pPr>
          <w:bookmarkStart w:colFirst="0" w:colLast="0" w:name="_cspw4rpvmrg7" w:id="3"/>
          <w:bookmarkEnd w:id="3"/>
          <w:r w:rsidDel="00000000" w:rsidR="00000000" w:rsidRPr="00000000">
            <w:rPr>
              <w:i w:val="1"/>
              <w:sz w:val="36"/>
              <w:szCs w:val="36"/>
              <w:rtl w:val="0"/>
            </w:rPr>
            <w:t xml:space="preserve"> </w:t>
          </w:r>
          <w:r w:rsidDel="00000000" w:rsidR="00000000" w:rsidRPr="00000000">
            <w:rPr>
              <w:i w:val="1"/>
              <w:sz w:val="36"/>
              <w:szCs w:val="36"/>
              <w:rtl w:val="0"/>
            </w:rPr>
            <w:t xml:space="preserve">Artist's Legacy Toolkit: Tools</w:t>
          </w:r>
          <w:r w:rsidDel="00000000" w:rsidR="00000000" w:rsidRPr="00000000">
            <w:rPr>
              <w:rtl w:val="0"/>
            </w:rPr>
          </w:r>
        </w:p>
      </w:tc>
    </w:tr>
  </w:tbl>
  <w:p w:rsidR="00000000" w:rsidDel="00000000" w:rsidP="00000000" w:rsidRDefault="00000000" w:rsidRPr="00000000">
    <w:pPr>
      <w:pStyle w:val="Heading1"/>
      <w:contextualSpacing w:val="0"/>
      <w:rPr>
        <w:rFonts w:ascii="Calibri" w:cs="Calibri" w:eastAsia="Calibri" w:hAnsi="Calibri"/>
        <w:i w:val="1"/>
        <w:sz w:val="16"/>
        <w:szCs w:val="16"/>
      </w:rPr>
    </w:pPr>
    <w:bookmarkStart w:colFirst="0" w:colLast="0" w:name="_s2o0ntflog6b" w:id="4"/>
    <w:bookmarkEnd w:id="4"/>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Cambria" w:cs="Cambria" w:eastAsia="Cambria" w:hAnsi="Cambria"/>
        <w:b w:val="0"/>
        <w:i w:val="0"/>
        <w:smallCaps w:val="0"/>
        <w:strike w:val="0"/>
        <w:color w:val="000000"/>
        <w:sz w:val="24"/>
        <w:szCs w:val="24"/>
        <w:u w:val="none"/>
        <w:shd w:fill="auto" w:val="clear"/>
        <w:vertAlign w:val="baseline"/>
        <w:lang w:val="en"/>
      </w:rPr>
    </w:rPrDefault>
    <w:pPrDefault>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1"/>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rPr>
      <w:rFonts w:ascii="Calibri" w:cs="Calibri" w:eastAsia="Calibri" w:hAnsi="Calibri"/>
      <w:b w:val="1"/>
      <w:color w:val="11566e"/>
      <w:sz w:val="48"/>
      <w:szCs w:val="48"/>
    </w:rPr>
  </w:style>
  <w:style w:type="paragraph" w:styleId="Heading2">
    <w:name w:val="heading 2"/>
    <w:basedOn w:val="Normal"/>
    <w:next w:val="Normal"/>
    <w:pPr>
      <w:spacing w:after="160" w:line="259" w:lineRule="auto"/>
      <w:contextualSpacing w:val="0"/>
    </w:pPr>
    <w:rPr>
      <w:rFonts w:ascii="Calibri" w:cs="Calibri" w:eastAsia="Calibri" w:hAnsi="Calibri"/>
      <w:b w:val="1"/>
      <w:color w:val="11566e"/>
      <w:sz w:val="36"/>
      <w:szCs w:val="36"/>
    </w:rPr>
  </w:style>
  <w:style w:type="paragraph" w:styleId="Heading3">
    <w:name w:val="heading 3"/>
    <w:basedOn w:val="Normal"/>
    <w:next w:val="Normal"/>
    <w:pPr>
      <w:keepNext w:val="0"/>
      <w:keepLines w:val="0"/>
      <w:widowControl w:val="0"/>
      <w:spacing w:after="80" w:before="280" w:lineRule="auto"/>
    </w:pPr>
    <w:rPr>
      <w:b w:val="1"/>
      <w:sz w:val="28"/>
      <w:szCs w:val="28"/>
    </w:rPr>
  </w:style>
  <w:style w:type="paragraph" w:styleId="Heading4">
    <w:name w:val="heading 4"/>
    <w:basedOn w:val="Normal"/>
    <w:next w:val="Normal"/>
    <w:pPr>
      <w:keepNext w:val="0"/>
      <w:keepLines w:val="0"/>
      <w:widowControl w:val="0"/>
      <w:spacing w:after="40" w:before="240" w:lineRule="auto"/>
    </w:pPr>
    <w:rPr>
      <w:b w:val="1"/>
      <w:sz w:val="24"/>
      <w:szCs w:val="24"/>
    </w:rPr>
  </w:style>
  <w:style w:type="paragraph" w:styleId="Heading5">
    <w:name w:val="heading 5"/>
    <w:basedOn w:val="Normal"/>
    <w:next w:val="Normal"/>
    <w:pPr>
      <w:keepNext w:val="0"/>
      <w:keepLines w:val="0"/>
      <w:widowControl w:val="0"/>
      <w:spacing w:after="40" w:before="220" w:lineRule="auto"/>
    </w:pPr>
    <w:rPr>
      <w:b w:val="1"/>
      <w:sz w:val="22"/>
      <w:szCs w:val="22"/>
    </w:rPr>
  </w:style>
  <w:style w:type="paragraph" w:styleId="Heading6">
    <w:name w:val="heading 6"/>
    <w:basedOn w:val="Normal"/>
    <w:next w:val="Normal"/>
    <w:pPr>
      <w:keepNext w:val="0"/>
      <w:keepLines w:val="0"/>
      <w:widowControl w:val="0"/>
      <w:spacing w:after="40" w:before="200" w:lineRule="auto"/>
    </w:pPr>
    <w:rPr>
      <w:b w:val="1"/>
      <w:sz w:val="20"/>
      <w:szCs w:val="20"/>
    </w:rPr>
  </w:style>
  <w:style w:type="paragraph" w:styleId="Title">
    <w:name w:val="Title"/>
    <w:basedOn w:val="Normal"/>
    <w:next w:val="Normal"/>
    <w:pPr>
      <w:keepNext w:val="0"/>
      <w:keepLines w:val="0"/>
      <w:widowControl w:val="0"/>
      <w:spacing w:after="120" w:before="480" w:lineRule="auto"/>
    </w:pPr>
    <w:rPr>
      <w:b w:val="1"/>
      <w:sz w:val="72"/>
      <w:szCs w:val="72"/>
    </w:rPr>
  </w:style>
  <w:style w:type="paragraph" w:styleId="Subtitle">
    <w:name w:val="Subtitle"/>
    <w:basedOn w:val="Normal"/>
    <w:next w:val="Normal"/>
    <w:pPr>
      <w:keepNext w:val="0"/>
      <w:keepLines w:val="0"/>
      <w:widowControl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0" w:type="dxa"/>
        <w:bottom w:w="0.0" w:type="dxa"/>
        <w:right w:w="1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